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5D44" w14:textId="2EAF6218" w:rsidR="00BD1E79" w:rsidRDefault="00BD1E79" w:rsidP="00BD1E79">
      <w:pPr>
        <w:pStyle w:val="Prrafodelista"/>
        <w:numPr>
          <w:ilvl w:val="0"/>
          <w:numId w:val="1"/>
        </w:numPr>
        <w:jc w:val="both"/>
      </w:pPr>
      <w:r>
        <w:t>Ordenanza Municipal- Copia</w:t>
      </w:r>
      <w:r>
        <w:t xml:space="preserve"> </w:t>
      </w:r>
      <w:r>
        <w:t>digital de la ordenanza municipal vigente sobre tenencia responsable de mascotas</w:t>
      </w:r>
      <w:r>
        <w:t xml:space="preserve"> </w:t>
      </w:r>
      <w:r>
        <w:t>y/o animales de compañía.- Fecha de promulgación o última modificación.-</w:t>
      </w:r>
      <w:r>
        <w:t xml:space="preserve"> </w:t>
      </w:r>
      <w:r>
        <w:t>Mecanismos de fiscalización y sanción contemplados en dicha ordenanza.</w:t>
      </w:r>
    </w:p>
    <w:p w14:paraId="23B9EC6A" w14:textId="33940D2E" w:rsidR="00BD1E79" w:rsidRDefault="00BD1E79" w:rsidP="00BD1E79">
      <w:pPr>
        <w:jc w:val="both"/>
      </w:pPr>
      <w:hyperlink r:id="rId5" w:history="1">
        <w:r w:rsidRPr="00196003">
          <w:rPr>
            <w:rStyle w:val="Hipervnculo"/>
          </w:rPr>
          <w:t>https://www.conchalitransparencia.cl/Ordenanzas/DECRETO%20EXENTO%20707-2025%20Ordenanza%20tenencia%20mascotas.pdf</w:t>
        </w:r>
      </w:hyperlink>
      <w:r>
        <w:t xml:space="preserve"> </w:t>
      </w:r>
    </w:p>
    <w:p w14:paraId="3273F9FD" w14:textId="25640DEB" w:rsidR="00BD1E79" w:rsidRDefault="00BD1E79" w:rsidP="00354837">
      <w:pPr>
        <w:pStyle w:val="Prrafodelista"/>
        <w:numPr>
          <w:ilvl w:val="0"/>
          <w:numId w:val="1"/>
        </w:numPr>
        <w:jc w:val="both"/>
      </w:pPr>
      <w:r>
        <w:t>Fiscalización y sanciones- Número total de fiscalizaciones realizadas anualmente</w:t>
      </w:r>
      <w:r w:rsidR="00354837">
        <w:t xml:space="preserve">. </w:t>
      </w:r>
      <w:r w:rsidR="00947717">
        <w:t>E</w:t>
      </w:r>
      <w:r>
        <w:t>ntre 2021 y 2024 respecto al cumplimiento de la Ley 21.020.</w:t>
      </w:r>
      <w:r w:rsidR="00354837">
        <w:t xml:space="preserve"> </w:t>
      </w:r>
      <w:r w:rsidR="00354837">
        <w:t>Número de denuncias</w:t>
      </w:r>
      <w:r w:rsidR="00354837">
        <w:t xml:space="preserve"> </w:t>
      </w:r>
      <w:r w:rsidR="00354837">
        <w:t>recibidas por maltrato animal en el mismo período.</w:t>
      </w:r>
      <w:r w:rsidR="00354837">
        <w:t xml:space="preserve"> </w:t>
      </w:r>
      <w:r w:rsidR="00354837">
        <w:t>Detalle del tipo de sanciones</w:t>
      </w:r>
      <w:r w:rsidR="00354837">
        <w:t xml:space="preserve"> </w:t>
      </w:r>
      <w:r w:rsidR="00354837">
        <w:t>aplicadas (multas, querellas, amonestaciones), con su cantidad y año</w:t>
      </w:r>
      <w:r w:rsidR="00354837">
        <w:t xml:space="preserve"> </w:t>
      </w:r>
      <w:r w:rsidR="00354837">
        <w:t>correspondiente.</w:t>
      </w:r>
    </w:p>
    <w:p w14:paraId="3FFFBF38" w14:textId="77777777" w:rsidR="00354837" w:rsidRDefault="00542653" w:rsidP="00354837">
      <w:pPr>
        <w:jc w:val="both"/>
      </w:pPr>
      <w:r w:rsidRPr="00542653">
        <w:t xml:space="preserve">Actualmente y en años anteriores no existen registros de multas cursadas en la comuna por maltrato animal o tenencia irresponsable de mascotas, pues se está </w:t>
      </w:r>
      <w:r>
        <w:t>aplicando recientemente</w:t>
      </w:r>
      <w:r w:rsidRPr="00542653">
        <w:t xml:space="preserve"> la Ordenanza Municipal sobre tenencia responsable de mascotas, la cual dictamina las multas a aplicar y los valores que correspondan.</w:t>
      </w:r>
    </w:p>
    <w:p w14:paraId="1CF99A56" w14:textId="152EBC4C" w:rsidR="00354837" w:rsidRDefault="00BD1E79" w:rsidP="00354837">
      <w:pPr>
        <w:pStyle w:val="Prrafodelista"/>
        <w:numPr>
          <w:ilvl w:val="0"/>
          <w:numId w:val="1"/>
        </w:numPr>
        <w:jc w:val="both"/>
      </w:pPr>
      <w:r>
        <w:t>¿Existe personal municipal dedicado exclusivamente a fiscalización</w:t>
      </w:r>
      <w:r w:rsidR="00354837">
        <w:t xml:space="preserve"> </w:t>
      </w:r>
      <w:r>
        <w:t>de la</w:t>
      </w:r>
      <w:r w:rsidR="00354837">
        <w:t xml:space="preserve"> </w:t>
      </w:r>
      <w:r>
        <w:t>tenencia responsable? En caso afirmativo, indique cantidad de funcionarios y</w:t>
      </w:r>
      <w:r w:rsidR="00354837">
        <w:t xml:space="preserve"> </w:t>
      </w:r>
      <w:r>
        <w:t>unidades responsables.</w:t>
      </w:r>
    </w:p>
    <w:p w14:paraId="189C7D79" w14:textId="77777777" w:rsidR="00CB4F02" w:rsidRDefault="001659D8" w:rsidP="00CB4F02">
      <w:pPr>
        <w:jc w:val="both"/>
      </w:pPr>
      <w:r>
        <w:t>En el Departamento de Higiene Ambiental y Zoonosis existen dos médicos veterinarios y tres técnicos veterinarios encargados de promover y fiscalizar siempre que se cumplan los acápites de tenencia responsable. Con calidad i</w:t>
      </w:r>
      <w:r w:rsidR="00CB4F02">
        <w:t>n</w:t>
      </w:r>
      <w:r>
        <w:t xml:space="preserve">spectiva actualmente, de este </w:t>
      </w:r>
      <w:r w:rsidR="00CB4F02">
        <w:t>departamento</w:t>
      </w:r>
      <w:r>
        <w:t xml:space="preserve"> </w:t>
      </w:r>
      <w:r w:rsidR="00CB4F02">
        <w:t>hay</w:t>
      </w:r>
      <w:r>
        <w:t xml:space="preserve"> dos personas las cuales realizan las </w:t>
      </w:r>
      <w:r w:rsidR="00CB4F02">
        <w:t>visitas</w:t>
      </w:r>
      <w:r>
        <w:t xml:space="preserve"> a terreno y denuncias correspondientes.</w:t>
      </w:r>
    </w:p>
    <w:p w14:paraId="761E8560" w14:textId="77777777" w:rsidR="00020F06" w:rsidRDefault="00BD1E79" w:rsidP="00BD1E79">
      <w:pPr>
        <w:pStyle w:val="Prrafodelista"/>
        <w:numPr>
          <w:ilvl w:val="0"/>
          <w:numId w:val="1"/>
        </w:numPr>
        <w:jc w:val="both"/>
      </w:pPr>
      <w:r>
        <w:t>Recursos y presupuesto- Presupuesto municipal anual</w:t>
      </w:r>
      <w:r w:rsidR="00CB4F02">
        <w:t xml:space="preserve"> </w:t>
      </w:r>
      <w:r>
        <w:t>asignado</w:t>
      </w:r>
      <w:r w:rsidR="00020F06">
        <w:t xml:space="preserve"> </w:t>
      </w:r>
      <w:r>
        <w:t>específicamente a programas o actividades relacionadas con tenencia</w:t>
      </w:r>
      <w:r w:rsidR="00020F06">
        <w:t xml:space="preserve"> </w:t>
      </w:r>
      <w:r>
        <w:t>responsable (esterilización, chipeo, fiscalización, campañas educativas, etc.) entre</w:t>
      </w:r>
      <w:r w:rsidR="00020F06">
        <w:t xml:space="preserve"> </w:t>
      </w:r>
      <w:r>
        <w:t>2021 y 2024.- Indique si la municipalidad ha recibido fondos del Programa PTRAC</w:t>
      </w:r>
      <w:r w:rsidR="00020F06">
        <w:t xml:space="preserve"> </w:t>
      </w:r>
      <w:r>
        <w:t>(Subdere) u otros programas públicos para estos fines durante el mismo periodo. En</w:t>
      </w:r>
      <w:r w:rsidR="00020F06">
        <w:t xml:space="preserve"> </w:t>
      </w:r>
      <w:r>
        <w:t>caso afirmativo, indique montos, fuentes y proyectos financiados.</w:t>
      </w:r>
    </w:p>
    <w:p w14:paraId="031BC19E" w14:textId="77777777" w:rsidR="005F0543" w:rsidRDefault="005F0543" w:rsidP="005F0543">
      <w:pPr>
        <w:jc w:val="both"/>
      </w:pPr>
      <w:r>
        <w:t>Durante el año 2024 en el Departamento de Higiene Ambiental y Zoonosis se desarrollaron tres programas destinados al</w:t>
      </w:r>
      <w:r w:rsidRPr="002E7694">
        <w:t xml:space="preserve"> control de animales y tenencia responsable de mascotas</w:t>
      </w:r>
      <w:r>
        <w:t xml:space="preserve"> con objetivos centrados en la esterilización y castración felina y canina, vacunación, consultas veterinarias e implantación de microchips. Todos los animales atendidos, sean callejeros o comunitarios, siempre quedaron con </w:t>
      </w:r>
      <w:r>
        <w:lastRenderedPageBreak/>
        <w:t>microchips de identificación. Los animales callejeros atendidos siempre vienen acompañados de un responsable.</w:t>
      </w:r>
    </w:p>
    <w:p w14:paraId="4B17EA1C" w14:textId="1DEC3A88" w:rsidR="005F0543" w:rsidRPr="003B3B53" w:rsidRDefault="005F0543" w:rsidP="003B3B53">
      <w:pPr>
        <w:jc w:val="both"/>
        <w:rPr>
          <w:b/>
          <w:bCs/>
        </w:rPr>
      </w:pPr>
      <w:r w:rsidRPr="0077557E">
        <w:rPr>
          <w:b/>
          <w:bCs/>
        </w:rPr>
        <w:t>PROGRAMA MUNICIPAL “Servicios Veterinarios para Comunidad Conchalí 2024”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908"/>
        <w:gridCol w:w="1728"/>
        <w:gridCol w:w="2313"/>
        <w:gridCol w:w="2313"/>
      </w:tblGrid>
      <w:tr w:rsidR="005F0543" w:rsidRPr="0077557E" w14:paraId="55439F4F" w14:textId="77777777" w:rsidTr="00132E87">
        <w:trPr>
          <w:trHeight w:val="89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D1C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Requerimientos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DC51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Monto Mensual Impuesto incluido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CDB2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Monto Anual Impuesto  Incluido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D6F8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Imputación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AF81" w14:textId="77777777" w:rsidR="005F0543" w:rsidRPr="0077557E" w:rsidRDefault="005F0543" w:rsidP="00132E87">
            <w:pPr>
              <w:spacing w:line="256" w:lineRule="auto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Modalidad de Adquisición</w:t>
            </w:r>
          </w:p>
        </w:tc>
      </w:tr>
      <w:tr w:rsidR="005F0543" w:rsidRPr="0077557E" w14:paraId="2E1B7180" w14:textId="77777777" w:rsidTr="00132E87">
        <w:trPr>
          <w:trHeight w:val="119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836D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Servicios Médico Veterinario. (1)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B64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 xml:space="preserve">$1.500.000 </w:t>
            </w:r>
          </w:p>
          <w:p w14:paraId="1D5CD70C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B849" w14:textId="77777777" w:rsidR="005F0543" w:rsidRPr="0077557E" w:rsidRDefault="005F0543" w:rsidP="00132E87">
            <w:pPr>
              <w:spacing w:line="256" w:lineRule="auto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>$16.500.000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8297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22.08.999.006</w:t>
            </w:r>
          </w:p>
          <w:p w14:paraId="7122ABED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Otros Servicios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9177" w14:textId="77777777" w:rsidR="005F0543" w:rsidRPr="0077557E" w:rsidRDefault="005F0543" w:rsidP="00132E87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Licitación Pública</w:t>
            </w:r>
          </w:p>
        </w:tc>
      </w:tr>
      <w:tr w:rsidR="005F0543" w:rsidRPr="0077557E" w14:paraId="6408A076" w14:textId="77777777" w:rsidTr="00132E87">
        <w:trPr>
          <w:trHeight w:val="119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B39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Servicios Técnicos Veterinarios (2)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6DBC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>$760.000 c/u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206" w14:textId="77777777" w:rsidR="005F0543" w:rsidRPr="0077557E" w:rsidRDefault="005F0543" w:rsidP="00132E87">
            <w:pPr>
              <w:spacing w:line="256" w:lineRule="auto"/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szCs w:val="22"/>
                <w:lang w:val="es-ES"/>
                <w14:ligatures w14:val="none"/>
              </w:rPr>
              <w:t>$16.720.000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32DF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22.08.999.006</w:t>
            </w:r>
          </w:p>
          <w:p w14:paraId="1B1172AD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Otros Servicios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0C46" w14:textId="77777777" w:rsidR="005F0543" w:rsidRPr="0077557E" w:rsidRDefault="005F0543" w:rsidP="00132E87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Licitación Pública</w:t>
            </w:r>
          </w:p>
        </w:tc>
      </w:tr>
      <w:tr w:rsidR="005F0543" w:rsidRPr="0077557E" w14:paraId="1632088C" w14:textId="77777777" w:rsidTr="00132E87">
        <w:trPr>
          <w:trHeight w:val="282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B033" w14:textId="77777777" w:rsidR="005F0543" w:rsidRPr="0077557E" w:rsidRDefault="005F0543" w:rsidP="00132E87">
            <w:pPr>
              <w:spacing w:line="256" w:lineRule="auto"/>
              <w:ind w:left="-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 xml:space="preserve">Insumos médicos para consultas y tratamientos </w:t>
            </w:r>
          </w:p>
          <w:p w14:paraId="47746C7E" w14:textId="77777777" w:rsidR="005F0543" w:rsidRPr="0077557E" w:rsidRDefault="005F0543" w:rsidP="00132E87">
            <w:pPr>
              <w:spacing w:line="256" w:lineRule="auto"/>
              <w:ind w:left="-48" w:hanging="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 xml:space="preserve">Insumos médicos vacunas y chips </w:t>
            </w:r>
          </w:p>
          <w:p w14:paraId="5873010D" w14:textId="77777777" w:rsidR="005F0543" w:rsidRPr="0077557E" w:rsidRDefault="005F0543" w:rsidP="00132E87">
            <w:pPr>
              <w:spacing w:line="256" w:lineRule="auto"/>
              <w:ind w:left="-48" w:hanging="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 xml:space="preserve">Insumos médicos para esterilizaciones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369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E5E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>$8.000.000.-</w:t>
            </w:r>
          </w:p>
          <w:p w14:paraId="73D53336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  <w:p w14:paraId="551AA15E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  <w:p w14:paraId="79AD6BA3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>$10.000.000.-</w:t>
            </w:r>
          </w:p>
          <w:p w14:paraId="0D0739EA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  <w:p w14:paraId="6945767C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  <w:t>$10.000.000.-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0E5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22.04.004.002</w:t>
            </w:r>
          </w:p>
          <w:p w14:paraId="1C94EF9C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  <w:t>Para programas de Higiene Ambiental</w:t>
            </w:r>
          </w:p>
          <w:p w14:paraId="18B8F2EA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BA2D" w14:textId="77777777" w:rsidR="005F0543" w:rsidRPr="0077557E" w:rsidRDefault="005F0543" w:rsidP="00132E87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Licitación Pública</w:t>
            </w:r>
          </w:p>
        </w:tc>
      </w:tr>
      <w:tr w:rsidR="005F0543" w:rsidRPr="0077557E" w14:paraId="648B2194" w14:textId="77777777" w:rsidTr="00132E87">
        <w:trPr>
          <w:trHeight w:val="88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9F2E" w14:textId="77777777" w:rsidR="005F0543" w:rsidRPr="0077557E" w:rsidRDefault="005F0543" w:rsidP="00132E87">
            <w:pPr>
              <w:spacing w:line="256" w:lineRule="auto"/>
              <w:ind w:left="-48"/>
              <w:rPr>
                <w:rFonts w:ascii="Calibri" w:eastAsia="Calibri" w:hAnsi="Calibri" w:cs="Times New Roman"/>
                <w:b/>
                <w:kern w:val="0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Times New Roman"/>
                <w:b/>
                <w:kern w:val="0"/>
                <w:lang w:val="es-ES"/>
                <w14:ligatures w14:val="none"/>
              </w:rPr>
              <w:t>TOTAL 11 MESES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3A7" w14:textId="77777777" w:rsidR="005F0543" w:rsidRPr="0077557E" w:rsidRDefault="005F0543" w:rsidP="00132E87">
            <w:pPr>
              <w:spacing w:line="256" w:lineRule="auto"/>
              <w:ind w:left="-48"/>
              <w:rPr>
                <w:rFonts w:ascii="Calibri" w:eastAsia="Calibri" w:hAnsi="Calibri" w:cs="Times New Roman"/>
                <w:kern w:val="0"/>
                <w:lang w:val="es-ES"/>
                <w14:ligatures w14:val="non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E37F" w14:textId="77777777" w:rsidR="005F0543" w:rsidRPr="0077557E" w:rsidRDefault="005F0543" w:rsidP="00132E8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  <w:r w:rsidRPr="0077557E"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  <w:t>$61.220.000.-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335" w14:textId="77777777" w:rsidR="005F0543" w:rsidRPr="0077557E" w:rsidRDefault="005F0543" w:rsidP="00132E87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A74" w14:textId="77777777" w:rsidR="005F0543" w:rsidRPr="0077557E" w:rsidRDefault="005F0543" w:rsidP="00132E87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kern w:val="0"/>
                <w:szCs w:val="22"/>
                <w:lang w:val="es-ES"/>
                <w14:ligatures w14:val="none"/>
              </w:rPr>
            </w:pPr>
          </w:p>
        </w:tc>
      </w:tr>
    </w:tbl>
    <w:p w14:paraId="489428DF" w14:textId="77777777" w:rsidR="005F0543" w:rsidRDefault="005F0543" w:rsidP="005F0543">
      <w:pPr>
        <w:jc w:val="both"/>
      </w:pPr>
    </w:p>
    <w:p w14:paraId="76F0C162" w14:textId="77777777" w:rsidR="005F0543" w:rsidRDefault="005F0543" w:rsidP="005F0543">
      <w:pPr>
        <w:jc w:val="both"/>
        <w:rPr>
          <w:b/>
          <w:bCs/>
        </w:rPr>
      </w:pPr>
      <w:r w:rsidRPr="0077557E">
        <w:rPr>
          <w:b/>
          <w:bCs/>
        </w:rPr>
        <w:t>PROGRAMA MUNICIPAL “Programa Esterilización Masiva Caninos y Felinos Municipal Conchalí 2024”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1946"/>
        <w:gridCol w:w="1556"/>
        <w:gridCol w:w="1644"/>
        <w:gridCol w:w="1896"/>
      </w:tblGrid>
      <w:tr w:rsidR="005F0543" w:rsidRPr="00153EF9" w14:paraId="0C442946" w14:textId="77777777" w:rsidTr="00132E87">
        <w:trPr>
          <w:trHeight w:val="89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CCA8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Modalidad de Adquisición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0CD8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Requerimientos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7CB4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Monto Mensual Impuesto incluido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51D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Monto Anual Impuesto  Incluido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658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Imputación</w:t>
            </w:r>
          </w:p>
        </w:tc>
      </w:tr>
      <w:tr w:rsidR="005F0543" w:rsidRPr="00153EF9" w14:paraId="42DDEF70" w14:textId="77777777" w:rsidTr="00132E87">
        <w:trPr>
          <w:trHeight w:val="119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2AF6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Licitación Pública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F29C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Contratación de Profesional Médico </w:t>
            </w: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lastRenderedPageBreak/>
              <w:t>Veterinario Cirujano.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34F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lastRenderedPageBreak/>
              <w:t>$1.500.000.-</w:t>
            </w:r>
          </w:p>
          <w:p w14:paraId="59F6F242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AF88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$15.000.000.-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E147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22.08.999.006</w:t>
            </w:r>
          </w:p>
          <w:p w14:paraId="1BF937CA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Otros Servicios</w:t>
            </w:r>
          </w:p>
        </w:tc>
      </w:tr>
      <w:tr w:rsidR="005F0543" w:rsidRPr="00153EF9" w14:paraId="3514E70D" w14:textId="77777777" w:rsidTr="00132E87">
        <w:trPr>
          <w:trHeight w:val="1323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839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Licitación Pública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910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Contratación de Profesional</w:t>
            </w:r>
          </w:p>
          <w:p w14:paraId="16C462F0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Técnico Veterinario.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468A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$760.000.-</w:t>
            </w:r>
          </w:p>
          <w:p w14:paraId="2FE2DC33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4F9E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$7.600.000.-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37FE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22.08.999.006</w:t>
            </w:r>
          </w:p>
          <w:p w14:paraId="0F75CBB7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Otros Servicios</w:t>
            </w:r>
          </w:p>
        </w:tc>
      </w:tr>
      <w:tr w:rsidR="005F0543" w:rsidRPr="00153EF9" w14:paraId="515A3F21" w14:textId="77777777" w:rsidTr="00132E87">
        <w:trPr>
          <w:trHeight w:val="882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0B5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286F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TOTAL POR 10 MESES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45C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A370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53EF9"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$22.600.000.-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D9C" w14:textId="77777777" w:rsidR="005F0543" w:rsidRPr="00153EF9" w:rsidRDefault="005F0543" w:rsidP="00132E87">
            <w:pPr>
              <w:spacing w:line="256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</w:tr>
    </w:tbl>
    <w:p w14:paraId="18545379" w14:textId="77777777" w:rsidR="005F0543" w:rsidRDefault="005F0543" w:rsidP="005F0543">
      <w:pPr>
        <w:jc w:val="both"/>
        <w:rPr>
          <w:b/>
          <w:bCs/>
        </w:rPr>
      </w:pPr>
    </w:p>
    <w:p w14:paraId="51A75D48" w14:textId="0A8E3798" w:rsidR="005F0543" w:rsidRPr="003B3B53" w:rsidRDefault="005F0543" w:rsidP="003B3B53">
      <w:pPr>
        <w:jc w:val="both"/>
        <w:rPr>
          <w:b/>
          <w:bCs/>
        </w:rPr>
      </w:pPr>
      <w:r w:rsidRPr="00871F0F">
        <w:rPr>
          <w:b/>
          <w:bCs/>
        </w:rPr>
        <w:t xml:space="preserve">PROGRAMA </w:t>
      </w:r>
      <w:r>
        <w:rPr>
          <w:b/>
          <w:bCs/>
        </w:rPr>
        <w:t>EXTERNO SUBDERE</w:t>
      </w:r>
      <w:r w:rsidRPr="00871F0F">
        <w:rPr>
          <w:b/>
          <w:bCs/>
        </w:rPr>
        <w:t xml:space="preserve"> “Programa Esterilización Masiva Caninos y Felinos Municipal Conchalí 2024”</w:t>
      </w:r>
    </w:p>
    <w:tbl>
      <w:tblPr>
        <w:tblStyle w:val="Tablaconcuadrcula"/>
        <w:tblW w:w="9503" w:type="dxa"/>
        <w:tblInd w:w="-34" w:type="dxa"/>
        <w:tblLook w:val="04A0" w:firstRow="1" w:lastRow="0" w:firstColumn="1" w:lastColumn="0" w:noHBand="0" w:noVBand="1"/>
      </w:tblPr>
      <w:tblGrid>
        <w:gridCol w:w="2014"/>
        <w:gridCol w:w="2664"/>
        <w:gridCol w:w="2552"/>
        <w:gridCol w:w="2273"/>
      </w:tblGrid>
      <w:tr w:rsidR="005F0543" w:rsidRPr="001C4310" w14:paraId="59C790B3" w14:textId="77777777" w:rsidTr="00132E8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62CF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MODALIDAD DE ADQUISICIÓN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55E7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REQUERIMIENTOS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2F5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MONTO APROXIMADO IMPUESTO INCLUIDO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F901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CUENTA A IMPUTAR</w:t>
            </w:r>
          </w:p>
        </w:tc>
      </w:tr>
      <w:tr w:rsidR="005F0543" w:rsidRPr="001C4310" w14:paraId="464B3302" w14:textId="77777777" w:rsidTr="00132E87">
        <w:trPr>
          <w:trHeight w:val="5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E19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Honorarios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C494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 xml:space="preserve">Contratación de 1 profesional Médico Veterinario.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008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/>
                <w:lang w:eastAsia="es-ES"/>
              </w:rPr>
              <w:t>$ 1.500.000.- mensual</w:t>
            </w:r>
          </w:p>
          <w:p w14:paraId="4D67AA92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90D0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22.08.999.006</w:t>
            </w:r>
          </w:p>
        </w:tc>
      </w:tr>
      <w:tr w:rsidR="005F0543" w:rsidRPr="001C4310" w14:paraId="02E0887D" w14:textId="77777777" w:rsidTr="00132E87">
        <w:trPr>
          <w:trHeight w:val="40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BD73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Honorarios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9EF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Contratación de 1 profesional Técnico Veterinario.</w:t>
            </w:r>
          </w:p>
          <w:p w14:paraId="5E6F918A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526A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/>
                <w:lang w:eastAsia="es-ES"/>
              </w:rPr>
              <w:t>$ 625.000.- mensual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B34E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22.08.999.006</w:t>
            </w:r>
          </w:p>
        </w:tc>
      </w:tr>
      <w:tr w:rsidR="005F0543" w:rsidRPr="001C4310" w14:paraId="6133E1F8" w14:textId="77777777" w:rsidTr="00132E87">
        <w:trPr>
          <w:trHeight w:val="9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CC05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Honorarios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6E5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Contratación de 1 profesional Técnico Veterinario.</w:t>
            </w:r>
          </w:p>
          <w:p w14:paraId="1B7DF8F7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D0EE" w14:textId="77777777" w:rsidR="005F0543" w:rsidRPr="001C4310" w:rsidRDefault="005F0543" w:rsidP="00132E87">
            <w:pPr>
              <w:jc w:val="both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/>
                <w:lang w:eastAsia="es-ES"/>
              </w:rPr>
              <w:t>$ 625.000.- mensual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12F3" w14:textId="77777777" w:rsidR="005F0543" w:rsidRPr="001C4310" w:rsidRDefault="005F0543" w:rsidP="00132E87">
            <w:pPr>
              <w:jc w:val="center"/>
              <w:rPr>
                <w:rFonts w:ascii="Cambria" w:eastAsia="Times New Roman" w:hAnsi="Cambria" w:cs="Calibri"/>
                <w:lang w:eastAsia="es-ES"/>
              </w:rPr>
            </w:pPr>
            <w:r w:rsidRPr="001C4310">
              <w:rPr>
                <w:rFonts w:ascii="Cambria" w:eastAsia="Times New Roman" w:hAnsi="Cambria" w:cs="Calibri"/>
                <w:lang w:eastAsia="es-ES"/>
              </w:rPr>
              <w:t>22.08.999.006</w:t>
            </w:r>
          </w:p>
        </w:tc>
      </w:tr>
      <w:tr w:rsidR="005F0543" w:rsidRPr="001C4310" w14:paraId="0DF1F0DC" w14:textId="77777777" w:rsidTr="00132E87">
        <w:trPr>
          <w:trHeight w:val="394"/>
        </w:trPr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70E44D" w14:textId="77777777" w:rsidR="005F0543" w:rsidRPr="001C4310" w:rsidRDefault="005F0543" w:rsidP="00132E87">
            <w:pPr>
              <w:jc w:val="center"/>
              <w:rPr>
                <w:rFonts w:ascii="Cambria" w:eastAsia="Times New Roman" w:hAnsi="Cambria"/>
                <w:highlight w:val="yellow"/>
                <w:lang w:eastAsia="es-E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2574" w14:textId="77777777" w:rsidR="005F0543" w:rsidRPr="001C4310" w:rsidRDefault="005F0543" w:rsidP="00132E87">
            <w:pPr>
              <w:jc w:val="center"/>
              <w:rPr>
                <w:rFonts w:ascii="Cambria" w:eastAsia="Times New Roman" w:hAnsi="Cambria"/>
                <w:b/>
                <w:highlight w:val="yellow"/>
                <w:lang w:eastAsia="es-ES"/>
              </w:rPr>
            </w:pPr>
            <w:r w:rsidRPr="001C4310">
              <w:rPr>
                <w:rFonts w:ascii="Cambria" w:eastAsia="Times New Roman" w:hAnsi="Cambria"/>
                <w:b/>
                <w:lang w:eastAsia="es-ES"/>
              </w:rPr>
              <w:t>TOTAL DEL PROGRAMA (1 MES)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B7EB" w14:textId="77777777" w:rsidR="005F0543" w:rsidRPr="001C4310" w:rsidRDefault="005F0543" w:rsidP="00132E87">
            <w:pPr>
              <w:jc w:val="center"/>
              <w:rPr>
                <w:rFonts w:ascii="Cambria" w:eastAsia="Times New Roman" w:hAnsi="Cambria"/>
                <w:b/>
                <w:highlight w:val="yellow"/>
                <w:lang w:eastAsia="es-ES"/>
              </w:rPr>
            </w:pPr>
            <w:r w:rsidRPr="001C4310">
              <w:rPr>
                <w:rFonts w:ascii="Cambria" w:eastAsia="Times New Roman" w:hAnsi="Cambria"/>
                <w:b/>
                <w:lang w:eastAsia="es-ES"/>
              </w:rPr>
              <w:t>$</w:t>
            </w:r>
            <w:r w:rsidRPr="001C4310">
              <w:rPr>
                <w:rFonts w:ascii="Cambria" w:eastAsia="Times New Roman" w:hAnsi="Cambria" w:cs="Calibri"/>
                <w:b/>
                <w:lang w:eastAsia="es-ES"/>
              </w:rPr>
              <w:t>2.750.000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CC980C" w14:textId="77777777" w:rsidR="005F0543" w:rsidRPr="001C4310" w:rsidRDefault="005F0543" w:rsidP="00132E87">
            <w:pPr>
              <w:jc w:val="center"/>
              <w:rPr>
                <w:rFonts w:ascii="Cambria" w:eastAsia="Times New Roman" w:hAnsi="Cambria"/>
                <w:highlight w:val="yellow"/>
                <w:lang w:eastAsia="es-ES"/>
              </w:rPr>
            </w:pPr>
          </w:p>
        </w:tc>
      </w:tr>
    </w:tbl>
    <w:p w14:paraId="5ECF8F72" w14:textId="77777777" w:rsidR="005F0543" w:rsidRDefault="005F0543" w:rsidP="005F0543">
      <w:pPr>
        <w:jc w:val="both"/>
      </w:pPr>
    </w:p>
    <w:p w14:paraId="063830E1" w14:textId="2C148916" w:rsidR="00020F06" w:rsidRPr="004A69C3" w:rsidRDefault="004A69C3" w:rsidP="00387CB1">
      <w:pPr>
        <w:jc w:val="both"/>
        <w:rPr>
          <w:b/>
          <w:bCs/>
        </w:rPr>
      </w:pPr>
      <w:r w:rsidRPr="004A69C3">
        <w:rPr>
          <w:b/>
          <w:bCs/>
        </w:rPr>
        <w:t>PROGRAMA ESTERILIZACIÓN MASIVA PTRAC 2023</w:t>
      </w:r>
    </w:p>
    <w:p w14:paraId="31028E90" w14:textId="77777777" w:rsidR="004A69C3" w:rsidRDefault="004A69C3" w:rsidP="004A69C3">
      <w:pPr>
        <w:jc w:val="both"/>
        <w:rPr>
          <w:b/>
          <w:sz w:val="28"/>
        </w:rPr>
      </w:pPr>
      <w:r>
        <w:t>El personal mínimo para una jornada de esterilización deberá contar con un equipo compuesto de un (1) Médico Veterinario y dos (2) ayudantes técnicos veterinarios.</w:t>
      </w:r>
    </w:p>
    <w:p w14:paraId="4A2406C6" w14:textId="77777777" w:rsidR="004A69C3" w:rsidRDefault="004A69C3" w:rsidP="004A69C3">
      <w:pPr>
        <w:pStyle w:val="Prrafodelista2"/>
        <w:spacing w:after="0"/>
        <w:ind w:left="924"/>
        <w:jc w:val="both"/>
        <w:rPr>
          <w:rFonts w:ascii="Book Antiqua" w:hAnsi="Book Antiqu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827"/>
        <w:gridCol w:w="1993"/>
        <w:gridCol w:w="1990"/>
      </w:tblGrid>
      <w:tr w:rsidR="004A69C3" w14:paraId="133D96D7" w14:textId="77777777">
        <w:trPr>
          <w:trHeight w:val="26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B950" w14:textId="77777777" w:rsidR="004A69C3" w:rsidRDefault="004A69C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Modalidad de Adquisición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14AC" w14:textId="77777777" w:rsidR="004A69C3" w:rsidRDefault="004A69C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Requerimientos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BF76" w14:textId="77777777" w:rsidR="004A69C3" w:rsidRDefault="004A69C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Monto Aproximado Impuesto incluido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D574" w14:textId="77777777" w:rsidR="004A69C3" w:rsidRDefault="004A69C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Imputación</w:t>
            </w:r>
          </w:p>
        </w:tc>
      </w:tr>
      <w:tr w:rsidR="004A69C3" w14:paraId="29872F20" w14:textId="77777777">
        <w:trPr>
          <w:trHeight w:val="822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576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Honorarios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31EA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Contratación de 1 profesional Médico Veterinario.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B3DF" w14:textId="77777777" w:rsidR="004A69C3" w:rsidRDefault="004A69C3">
            <w:pPr>
              <w:jc w:val="both"/>
              <w:rPr>
                <w:rFonts w:cstheme="minorHAnsi"/>
                <w:color w:val="FF0000"/>
              </w:rPr>
            </w:pPr>
            <w:r>
              <w:t xml:space="preserve">$1.500.000.- mensual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785C" w14:textId="77777777" w:rsidR="004A69C3" w:rsidRDefault="004A69C3">
            <w:pPr>
              <w:jc w:val="both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22.08.999.006 Otros Servicios Generales</w:t>
            </w:r>
          </w:p>
        </w:tc>
      </w:tr>
      <w:tr w:rsidR="004A69C3" w14:paraId="64DBA8C4" w14:textId="77777777">
        <w:trPr>
          <w:trHeight w:val="822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FF6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Honorarios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932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Contratación de 1 Técnico Veterinario.</w:t>
            </w:r>
          </w:p>
          <w:p w14:paraId="320BFB10" w14:textId="77777777" w:rsidR="004A69C3" w:rsidRDefault="004A69C3">
            <w:pPr>
              <w:jc w:val="both"/>
              <w:rPr>
                <w:rFonts w:cs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5B9F" w14:textId="77777777" w:rsidR="004A69C3" w:rsidRDefault="004A69C3">
            <w:pPr>
              <w:jc w:val="both"/>
              <w:rPr>
                <w:rFonts w:cstheme="minorHAnsi"/>
              </w:rPr>
            </w:pPr>
            <w:r>
              <w:t>$625.000.- mensual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AF31" w14:textId="77777777" w:rsidR="004A69C3" w:rsidRDefault="004A69C3">
            <w:pPr>
              <w:jc w:val="both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22.08.999.006 Otros Servicios Generales</w:t>
            </w:r>
          </w:p>
        </w:tc>
      </w:tr>
      <w:tr w:rsidR="004A69C3" w14:paraId="381837B6" w14:textId="77777777">
        <w:trPr>
          <w:trHeight w:val="822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495C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Honorarios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264F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Contratación de 1 Técnico Veterinario.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A75F" w14:textId="77777777" w:rsidR="004A69C3" w:rsidRDefault="004A69C3">
            <w:pPr>
              <w:jc w:val="both"/>
            </w:pPr>
            <w:r>
              <w:t>$625.000.- mensual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DF53" w14:textId="77777777" w:rsidR="004A69C3" w:rsidRDefault="004A69C3">
            <w:pPr>
              <w:jc w:val="both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22.08.999.006 Otros Servicios Generales</w:t>
            </w:r>
          </w:p>
        </w:tc>
      </w:tr>
      <w:tr w:rsidR="004A69C3" w14:paraId="25978ABA" w14:textId="77777777">
        <w:trPr>
          <w:trHeight w:val="456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2AD" w14:textId="77777777" w:rsidR="004A69C3" w:rsidRDefault="004A69C3">
            <w:pPr>
              <w:jc w:val="both"/>
              <w:rPr>
                <w:rFonts w:cstheme="minorHAnsi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D5A" w14:textId="77777777" w:rsidR="004A69C3" w:rsidRDefault="004A69C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Total estimado según la extensión del programa </w:t>
            </w:r>
            <w:r>
              <w:rPr>
                <w:rFonts w:cstheme="minorHAnsi"/>
                <w:b/>
              </w:rPr>
              <w:br/>
              <w:t>(4 meses).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32FA" w14:textId="77777777" w:rsidR="004A69C3" w:rsidRDefault="004A69C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$ 11.000.000.-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F45" w14:textId="77777777" w:rsidR="004A69C3" w:rsidRDefault="004A69C3">
            <w:pPr>
              <w:jc w:val="both"/>
              <w:rPr>
                <w:rFonts w:cstheme="minorHAnsi"/>
              </w:rPr>
            </w:pPr>
          </w:p>
        </w:tc>
      </w:tr>
    </w:tbl>
    <w:p w14:paraId="513465E7" w14:textId="77777777" w:rsidR="004A69C3" w:rsidRDefault="004A69C3" w:rsidP="00387CB1">
      <w:pPr>
        <w:jc w:val="both"/>
      </w:pPr>
    </w:p>
    <w:p w14:paraId="22E5A51E" w14:textId="76604086" w:rsidR="00491B89" w:rsidRPr="00491B89" w:rsidRDefault="00491B89" w:rsidP="00387CB1">
      <w:pPr>
        <w:jc w:val="both"/>
        <w:rPr>
          <w:b/>
          <w:bCs/>
        </w:rPr>
      </w:pPr>
      <w:r w:rsidRPr="00491B89">
        <w:rPr>
          <w:b/>
          <w:bCs/>
        </w:rPr>
        <w:t xml:space="preserve">PROGRAMA </w:t>
      </w:r>
      <w:r w:rsidRPr="00491B89">
        <w:rPr>
          <w:b/>
          <w:bCs/>
        </w:rPr>
        <w:t>MUNICIPAL</w:t>
      </w:r>
      <w:r w:rsidRPr="00491B89">
        <w:rPr>
          <w:b/>
          <w:bCs/>
        </w:rPr>
        <w:t xml:space="preserve"> 2023</w:t>
      </w:r>
    </w:p>
    <w:p w14:paraId="2A04FFB7" w14:textId="071258B0" w:rsidR="00387CB1" w:rsidRDefault="00491B89" w:rsidP="00387CB1">
      <w:pPr>
        <w:jc w:val="both"/>
      </w:pPr>
      <w:r>
        <w:rPr>
          <w:noProof/>
        </w:rPr>
        <w:drawing>
          <wp:inline distT="0" distB="0" distL="0" distR="0" wp14:anchorId="65E11B39" wp14:editId="265829C6">
            <wp:extent cx="5612130" cy="2390140"/>
            <wp:effectExtent l="0" t="0" r="7620" b="0"/>
            <wp:docPr id="4321953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95372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F20CA" w14:textId="556778B7" w:rsidR="00387CB1" w:rsidRDefault="00491B89" w:rsidP="00387CB1">
      <w:pPr>
        <w:jc w:val="both"/>
      </w:pPr>
      <w:r>
        <w:rPr>
          <w:noProof/>
        </w:rPr>
        <w:lastRenderedPageBreak/>
        <w:drawing>
          <wp:inline distT="0" distB="0" distL="0" distR="0" wp14:anchorId="7D8EDEC4" wp14:editId="672AF244">
            <wp:extent cx="5612130" cy="2464435"/>
            <wp:effectExtent l="0" t="0" r="7620" b="0"/>
            <wp:docPr id="121736489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6489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8783" w14:textId="1477E200" w:rsidR="00387CB1" w:rsidRPr="00A35D11" w:rsidRDefault="00491B89" w:rsidP="00387CB1">
      <w:pPr>
        <w:jc w:val="both"/>
        <w:rPr>
          <w:b/>
          <w:bCs/>
        </w:rPr>
      </w:pPr>
      <w:r w:rsidRPr="00A35D11">
        <w:rPr>
          <w:b/>
          <w:bCs/>
        </w:rPr>
        <w:t>PROGRAMA MUNICIPAL 2022</w:t>
      </w:r>
    </w:p>
    <w:p w14:paraId="523F6738" w14:textId="2F66FD85" w:rsidR="00491B89" w:rsidRDefault="00491B89" w:rsidP="00387CB1">
      <w:pPr>
        <w:jc w:val="both"/>
      </w:pPr>
      <w:r w:rsidRPr="00491B89">
        <w:drawing>
          <wp:anchor distT="0" distB="0" distL="114300" distR="114300" simplePos="0" relativeHeight="251658240" behindDoc="1" locked="0" layoutInCell="1" allowOverlap="1" wp14:anchorId="05220B17" wp14:editId="1D18A10D">
            <wp:simplePos x="0" y="0"/>
            <wp:positionH relativeFrom="margin">
              <wp:align>right</wp:align>
            </wp:positionH>
            <wp:positionV relativeFrom="paragraph">
              <wp:posOffset>2035810</wp:posOffset>
            </wp:positionV>
            <wp:extent cx="5498952" cy="2313940"/>
            <wp:effectExtent l="0" t="0" r="6985" b="0"/>
            <wp:wrapNone/>
            <wp:docPr id="147187518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75186" name="Imagen 1" descr="Tabl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952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B89">
        <w:drawing>
          <wp:inline distT="0" distB="0" distL="0" distR="0" wp14:anchorId="198567C7" wp14:editId="5FB3042C">
            <wp:extent cx="5612130" cy="2228850"/>
            <wp:effectExtent l="0" t="0" r="7620" b="0"/>
            <wp:docPr id="10699444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94444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AC6BE" w14:textId="01A19893" w:rsidR="00491B89" w:rsidRDefault="00491B89" w:rsidP="00387CB1">
      <w:pPr>
        <w:jc w:val="both"/>
      </w:pPr>
    </w:p>
    <w:p w14:paraId="5E7EF034" w14:textId="77777777" w:rsidR="00491B89" w:rsidRDefault="00491B89" w:rsidP="00387CB1">
      <w:pPr>
        <w:jc w:val="both"/>
      </w:pPr>
    </w:p>
    <w:p w14:paraId="7F082B7E" w14:textId="77777777" w:rsidR="00491B89" w:rsidRDefault="00491B89" w:rsidP="00387CB1">
      <w:pPr>
        <w:jc w:val="both"/>
      </w:pPr>
    </w:p>
    <w:p w14:paraId="0B7E06C3" w14:textId="77777777" w:rsidR="00491B89" w:rsidRDefault="00491B89" w:rsidP="00387CB1">
      <w:pPr>
        <w:jc w:val="both"/>
      </w:pPr>
    </w:p>
    <w:p w14:paraId="5E5E0FBC" w14:textId="77777777" w:rsidR="00491B89" w:rsidRDefault="00491B89" w:rsidP="00387CB1">
      <w:pPr>
        <w:jc w:val="both"/>
      </w:pPr>
    </w:p>
    <w:p w14:paraId="4A70BDE3" w14:textId="77777777" w:rsidR="00491B89" w:rsidRDefault="00491B89" w:rsidP="00387CB1">
      <w:pPr>
        <w:jc w:val="both"/>
      </w:pPr>
    </w:p>
    <w:p w14:paraId="1FBC1D0C" w14:textId="77777777" w:rsidR="00491B89" w:rsidRDefault="00491B89" w:rsidP="00387CB1">
      <w:pPr>
        <w:jc w:val="both"/>
      </w:pPr>
    </w:p>
    <w:p w14:paraId="072CF6FC" w14:textId="77777777" w:rsidR="00491B89" w:rsidRDefault="00491B89" w:rsidP="00387CB1">
      <w:pPr>
        <w:jc w:val="both"/>
      </w:pPr>
    </w:p>
    <w:p w14:paraId="580F17D1" w14:textId="77777777" w:rsidR="00491B89" w:rsidRDefault="00491B89" w:rsidP="00387CB1">
      <w:pPr>
        <w:jc w:val="both"/>
      </w:pPr>
    </w:p>
    <w:p w14:paraId="0508FED2" w14:textId="630BD59F" w:rsidR="00491B89" w:rsidRPr="00A35D11" w:rsidRDefault="00491B89" w:rsidP="00387CB1">
      <w:pPr>
        <w:jc w:val="both"/>
        <w:rPr>
          <w:b/>
          <w:bCs/>
        </w:rPr>
      </w:pPr>
      <w:r w:rsidRPr="00A35D11">
        <w:rPr>
          <w:b/>
          <w:bCs/>
        </w:rPr>
        <w:lastRenderedPageBreak/>
        <w:t>PROGRAMA MUNICIPAL 2021</w:t>
      </w:r>
    </w:p>
    <w:p w14:paraId="31A19317" w14:textId="7CADA481" w:rsidR="00491B89" w:rsidRDefault="00491B89" w:rsidP="00387CB1">
      <w:pPr>
        <w:jc w:val="both"/>
      </w:pPr>
      <w:r w:rsidRPr="00491B89">
        <w:drawing>
          <wp:inline distT="0" distB="0" distL="0" distR="0" wp14:anchorId="2C8CD73C" wp14:editId="5DA237EA">
            <wp:extent cx="5612130" cy="2115185"/>
            <wp:effectExtent l="0" t="0" r="7620" b="0"/>
            <wp:docPr id="78813768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37687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4D750" w14:textId="7564A87E" w:rsidR="00387CB1" w:rsidRDefault="000E0E4D" w:rsidP="00387CB1">
      <w:pPr>
        <w:jc w:val="both"/>
        <w:rPr>
          <w:b/>
          <w:bCs/>
        </w:rPr>
      </w:pPr>
      <w:r w:rsidRPr="000E0E4D">
        <w:rPr>
          <w:b/>
          <w:bCs/>
        </w:rPr>
        <w:t>PTRAC 2021</w:t>
      </w:r>
    </w:p>
    <w:p w14:paraId="059EB4B6" w14:textId="6ED7E5A8" w:rsidR="000E0E4D" w:rsidRPr="000E0E4D" w:rsidRDefault="000E0E4D" w:rsidP="00387CB1">
      <w:pPr>
        <w:jc w:val="both"/>
        <w:rPr>
          <w:b/>
          <w:bCs/>
        </w:rPr>
      </w:pPr>
      <w:r w:rsidRPr="000E0E4D">
        <w:drawing>
          <wp:inline distT="0" distB="0" distL="0" distR="0" wp14:anchorId="6B925D2F" wp14:editId="71475E82">
            <wp:extent cx="5612130" cy="2569845"/>
            <wp:effectExtent l="0" t="0" r="7620" b="1905"/>
            <wp:docPr id="186624189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41892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9B5" w14:textId="3896E31A" w:rsidR="00B659B5" w:rsidRDefault="00BD1E79" w:rsidP="00BD1E79">
      <w:pPr>
        <w:pStyle w:val="Prrafodelista"/>
        <w:numPr>
          <w:ilvl w:val="0"/>
          <w:numId w:val="1"/>
        </w:numPr>
        <w:jc w:val="both"/>
      </w:pPr>
      <w:r>
        <w:t>Campañas</w:t>
      </w:r>
      <w:r w:rsidR="00B659B5">
        <w:t xml:space="preserve"> </w:t>
      </w:r>
      <w:r>
        <w:t>educativas y operativos- Listado de campañas de sensibilización o educación</w:t>
      </w:r>
      <w:r w:rsidR="00B659B5">
        <w:t xml:space="preserve"> </w:t>
      </w:r>
      <w:r>
        <w:t>ciudadana sobre tenencia responsable desarrolladas entre 2021 y 2024 (fechas,</w:t>
      </w:r>
      <w:r w:rsidR="00B659B5">
        <w:t xml:space="preserve"> </w:t>
      </w:r>
      <w:r>
        <w:t>formatos, cobertura estimada). Número de operativos de vacunación, chipeo e</w:t>
      </w:r>
      <w:r w:rsidR="00B659B5">
        <w:t xml:space="preserve"> </w:t>
      </w:r>
      <w:r>
        <w:t>implantación de microchip realizados en la comuna durante este periodo.- Número de</w:t>
      </w:r>
      <w:r w:rsidR="00B659B5">
        <w:t xml:space="preserve"> </w:t>
      </w:r>
      <w:r>
        <w:t>esterilizaciones subvencionadas o gratuitas practicadas anualmente entre 2021 y</w:t>
      </w:r>
      <w:r w:rsidR="00B659B5">
        <w:t xml:space="preserve"> </w:t>
      </w:r>
      <w:r>
        <w:t>2024.</w:t>
      </w:r>
    </w:p>
    <w:p w14:paraId="61312D6A" w14:textId="22962EE5" w:rsidR="00B659B5" w:rsidRDefault="00D06362" w:rsidP="00B659B5">
      <w:pPr>
        <w:jc w:val="both"/>
      </w:pPr>
      <w:r w:rsidRPr="00D06362">
        <w:lastRenderedPageBreak/>
        <w:drawing>
          <wp:inline distT="0" distB="0" distL="0" distR="0" wp14:anchorId="192E21A8" wp14:editId="362FB5FE">
            <wp:extent cx="5612130" cy="1442720"/>
            <wp:effectExtent l="0" t="0" r="7620" b="5080"/>
            <wp:docPr id="79303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BD1A6" w14:textId="7BBC8A05" w:rsidR="00B659B5" w:rsidRDefault="00EA6B5A" w:rsidP="005C6034">
      <w:pPr>
        <w:jc w:val="both"/>
      </w:pPr>
      <w:r>
        <w:t xml:space="preserve">Operativos gratuitos más de </w:t>
      </w:r>
      <w:r w:rsidRPr="005C6034">
        <w:rPr>
          <w:b/>
          <w:bCs/>
        </w:rPr>
        <w:t>200</w:t>
      </w:r>
      <w:r>
        <w:t xml:space="preserve"> durante estos cuatro años.</w:t>
      </w:r>
    </w:p>
    <w:p w14:paraId="26E0D485" w14:textId="60D9540A" w:rsidR="00BD1E79" w:rsidRDefault="00BD1E79" w:rsidP="00BD1E79">
      <w:pPr>
        <w:pStyle w:val="Prrafodelista"/>
        <w:numPr>
          <w:ilvl w:val="0"/>
          <w:numId w:val="1"/>
        </w:numPr>
        <w:jc w:val="both"/>
      </w:pPr>
      <w:r>
        <w:t xml:space="preserve"> Infraestructura y colaboración- ¿La Municipalidad de Conchalí cuenta con</w:t>
      </w:r>
    </w:p>
    <w:p w14:paraId="1A45B5FB" w14:textId="77777777" w:rsidR="00BD1E79" w:rsidRDefault="00BD1E79" w:rsidP="00BD1E79">
      <w:r>
        <w:t>canil o centro de acogida municipal para mascotas abandonadas? En caso</w:t>
      </w:r>
    </w:p>
    <w:p w14:paraId="0F6B818D" w14:textId="5ABDA620" w:rsidR="00356990" w:rsidRDefault="00BD1E79" w:rsidP="00BD1E79">
      <w:r>
        <w:t>afirmativo, indique capacidad, recursos y gestión operativa.</w:t>
      </w:r>
    </w:p>
    <w:p w14:paraId="59A65305" w14:textId="103BA1DF" w:rsidR="00356990" w:rsidRDefault="00356990" w:rsidP="00BD1E79">
      <w:r>
        <w:t>No.</w:t>
      </w:r>
    </w:p>
    <w:p w14:paraId="35C4BC70" w14:textId="610586BA" w:rsidR="001B5F73" w:rsidRDefault="00BD1E79" w:rsidP="001B5F73">
      <w:pPr>
        <w:pStyle w:val="Prrafodelista"/>
        <w:numPr>
          <w:ilvl w:val="0"/>
          <w:numId w:val="1"/>
        </w:numPr>
      </w:pPr>
      <w:r>
        <w:t>Indique si existen</w:t>
      </w:r>
      <w:r w:rsidR="00356990">
        <w:t xml:space="preserve"> </w:t>
      </w:r>
      <w:r>
        <w:t>convenios vigentes con fundaciones, ONGs o clínicas veterinarias externas para</w:t>
      </w:r>
      <w:r w:rsidR="00356990">
        <w:t xml:space="preserve"> </w:t>
      </w:r>
      <w:r>
        <w:t>apoyar el cumplimiento de la Ley 21.020.</w:t>
      </w:r>
      <w:r w:rsidR="001B5F73">
        <w:t xml:space="preserve"> </w:t>
      </w:r>
    </w:p>
    <w:p w14:paraId="2ED0A77E" w14:textId="22F9BB9E" w:rsidR="00F9728E" w:rsidRDefault="00F9728E" w:rsidP="00F9728E">
      <w:r>
        <w:t>No.</w:t>
      </w:r>
    </w:p>
    <w:p w14:paraId="635B10C6" w14:textId="7BDDCDAB" w:rsidR="002C58CF" w:rsidRDefault="00BD1E79" w:rsidP="00BD1E79">
      <w:r>
        <w:cr/>
      </w:r>
    </w:p>
    <w:sectPr w:rsidR="002C58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73E7"/>
    <w:multiLevelType w:val="hybridMultilevel"/>
    <w:tmpl w:val="2DEAE1E8"/>
    <w:lvl w:ilvl="0" w:tplc="056EA1B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258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C8"/>
    <w:rsid w:val="00020F06"/>
    <w:rsid w:val="000907C0"/>
    <w:rsid w:val="000E0E4D"/>
    <w:rsid w:val="001659D8"/>
    <w:rsid w:val="001B5F73"/>
    <w:rsid w:val="001D1F3F"/>
    <w:rsid w:val="002C58CF"/>
    <w:rsid w:val="00303B1D"/>
    <w:rsid w:val="00354837"/>
    <w:rsid w:val="00356990"/>
    <w:rsid w:val="00387CB1"/>
    <w:rsid w:val="003B3B53"/>
    <w:rsid w:val="003C2E38"/>
    <w:rsid w:val="00491B89"/>
    <w:rsid w:val="004A69C3"/>
    <w:rsid w:val="00542653"/>
    <w:rsid w:val="005C6034"/>
    <w:rsid w:val="005F0543"/>
    <w:rsid w:val="00947717"/>
    <w:rsid w:val="009E77C8"/>
    <w:rsid w:val="00A35D11"/>
    <w:rsid w:val="00B659B5"/>
    <w:rsid w:val="00BD1E79"/>
    <w:rsid w:val="00CB4F02"/>
    <w:rsid w:val="00D06362"/>
    <w:rsid w:val="00EA6B5A"/>
    <w:rsid w:val="00F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9AA3"/>
  <w15:chartTrackingRefBased/>
  <w15:docId w15:val="{C71688B2-7727-400B-AA68-993D329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7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7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7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7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7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7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7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7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7C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D1E7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E7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F05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4A69C3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conchalitransparencia.cl/Ordenanzas/DECRETO%20EXENTO%20707-2025%20Ordenanza%20tenencia%20mascotas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Nilo</dc:creator>
  <cp:keywords/>
  <dc:description/>
  <cp:lastModifiedBy>info1</cp:lastModifiedBy>
  <cp:revision>23</cp:revision>
  <dcterms:created xsi:type="dcterms:W3CDTF">2025-10-13T13:23:00Z</dcterms:created>
  <dcterms:modified xsi:type="dcterms:W3CDTF">2025-10-13T15:34:00Z</dcterms:modified>
</cp:coreProperties>
</file>